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20" w:type="dxa"/>
        <w:tblInd w:w="93" w:type="dxa"/>
        <w:tblLook w:val="04A0" w:firstRow="1" w:lastRow="0" w:firstColumn="1" w:lastColumn="0" w:noHBand="0" w:noVBand="1"/>
      </w:tblPr>
      <w:tblGrid>
        <w:gridCol w:w="1560"/>
        <w:gridCol w:w="4360"/>
        <w:gridCol w:w="5080"/>
        <w:gridCol w:w="1380"/>
        <w:gridCol w:w="1229"/>
      </w:tblGrid>
      <w:tr w:rsidR="0083261F" w:rsidRPr="0083261F" w:rsidTr="0083261F">
        <w:trPr>
          <w:trHeight w:val="375"/>
        </w:trPr>
        <w:tc>
          <w:tcPr>
            <w:tcW w:w="156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0780" w:type="dxa"/>
            <w:gridSpan w:val="3"/>
            <w:tcBorders>
              <w:top w:val="nil"/>
              <w:left w:val="nil"/>
              <w:bottom w:val="nil"/>
              <w:right w:val="nil"/>
            </w:tcBorders>
            <w:shd w:val="clear" w:color="auto" w:fill="auto"/>
            <w:noWrap/>
            <w:vAlign w:val="center"/>
            <w:hideMark/>
          </w:tcPr>
          <w:p w:rsidR="0083261F" w:rsidRPr="0083261F" w:rsidRDefault="0083261F" w:rsidP="0083261F">
            <w:pPr>
              <w:rPr>
                <w:rFonts w:ascii="Calibri" w:eastAsia="Times New Roman" w:hAnsi="Calibri" w:cs="Arial"/>
                <w:b/>
                <w:bCs/>
                <w:sz w:val="28"/>
                <w:szCs w:val="28"/>
                <w:u w:val="single"/>
              </w:rPr>
            </w:pPr>
            <w:r w:rsidRPr="0083261F">
              <w:rPr>
                <w:rFonts w:ascii="Calibri" w:eastAsia="Times New Roman" w:hAnsi="Calibri" w:cs="Arial"/>
                <w:b/>
                <w:bCs/>
                <w:sz w:val="28"/>
                <w:szCs w:val="28"/>
                <w:u w:val="single"/>
              </w:rPr>
              <w:t xml:space="preserve">Richland County Proposed Projects for FEMA HMGP 404 Funding </w:t>
            </w:r>
          </w:p>
        </w:tc>
        <w:tc>
          <w:tcPr>
            <w:tcW w:w="11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r>
      <w:tr w:rsidR="0083261F" w:rsidRPr="0083261F" w:rsidTr="0083261F">
        <w:trPr>
          <w:trHeight w:val="150"/>
        </w:trPr>
        <w:tc>
          <w:tcPr>
            <w:tcW w:w="156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4360" w:type="dxa"/>
            <w:tcBorders>
              <w:top w:val="nil"/>
              <w:left w:val="nil"/>
              <w:bottom w:val="nil"/>
              <w:right w:val="nil"/>
            </w:tcBorders>
            <w:shd w:val="clear" w:color="auto" w:fill="auto"/>
            <w:noWrap/>
            <w:vAlign w:val="center"/>
            <w:hideMark/>
          </w:tcPr>
          <w:p w:rsidR="0083261F" w:rsidRPr="0083261F" w:rsidRDefault="0083261F" w:rsidP="0083261F">
            <w:pPr>
              <w:rPr>
                <w:rFonts w:ascii="Calibri" w:eastAsia="Times New Roman" w:hAnsi="Calibri" w:cs="Arial"/>
                <w:b/>
                <w:bCs/>
                <w:u w:val="single"/>
              </w:rPr>
            </w:pPr>
          </w:p>
        </w:tc>
        <w:tc>
          <w:tcPr>
            <w:tcW w:w="50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r>
      <w:tr w:rsidR="0083261F" w:rsidRPr="0083261F" w:rsidTr="0083261F">
        <w:trPr>
          <w:trHeight w:val="825"/>
        </w:trPr>
        <w:tc>
          <w:tcPr>
            <w:tcW w:w="1560" w:type="dxa"/>
            <w:tcBorders>
              <w:top w:val="single" w:sz="8" w:space="0" w:color="auto"/>
              <w:left w:val="single" w:sz="8" w:space="0" w:color="auto"/>
              <w:bottom w:val="single" w:sz="8" w:space="0" w:color="auto"/>
              <w:right w:val="single" w:sz="8" w:space="0" w:color="FFFFFF"/>
            </w:tcBorders>
            <w:shd w:val="clear" w:color="000000" w:fill="1F4E79"/>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 xml:space="preserve">State Assigned Application # and Status </w:t>
            </w:r>
            <w:r w:rsidRPr="0083261F">
              <w:rPr>
                <w:rFonts w:ascii="Calibri" w:eastAsia="Times New Roman" w:hAnsi="Calibri" w:cs="Arial"/>
                <w:b/>
                <w:bCs/>
                <w:color w:val="FFFFFF"/>
                <w:vertAlign w:val="superscript"/>
              </w:rPr>
              <w:t>1</w:t>
            </w:r>
          </w:p>
        </w:tc>
        <w:tc>
          <w:tcPr>
            <w:tcW w:w="4360" w:type="dxa"/>
            <w:tcBorders>
              <w:top w:val="single" w:sz="8" w:space="0" w:color="auto"/>
              <w:left w:val="nil"/>
              <w:bottom w:val="single" w:sz="8" w:space="0" w:color="auto"/>
              <w:right w:val="single" w:sz="8" w:space="0" w:color="FFFFFF"/>
            </w:tcBorders>
            <w:shd w:val="clear" w:color="000000" w:fill="1F4E79"/>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Title</w:t>
            </w:r>
          </w:p>
        </w:tc>
        <w:tc>
          <w:tcPr>
            <w:tcW w:w="5080" w:type="dxa"/>
            <w:tcBorders>
              <w:top w:val="single" w:sz="8" w:space="0" w:color="auto"/>
              <w:left w:val="nil"/>
              <w:bottom w:val="single" w:sz="8" w:space="0" w:color="auto"/>
              <w:right w:val="single" w:sz="8" w:space="0" w:color="FFFFFF"/>
            </w:tcBorders>
            <w:shd w:val="clear" w:color="000000" w:fill="1F4E79"/>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Description</w:t>
            </w:r>
          </w:p>
        </w:tc>
        <w:tc>
          <w:tcPr>
            <w:tcW w:w="1340" w:type="dxa"/>
            <w:tcBorders>
              <w:top w:val="single" w:sz="8" w:space="0" w:color="auto"/>
              <w:left w:val="nil"/>
              <w:bottom w:val="single" w:sz="8" w:space="0" w:color="auto"/>
              <w:right w:val="single" w:sz="8" w:space="0" w:color="FFFFFF"/>
            </w:tcBorders>
            <w:shd w:val="clear" w:color="000000" w:fill="1F4E79"/>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Federal Share</w:t>
            </w:r>
          </w:p>
        </w:tc>
        <w:tc>
          <w:tcPr>
            <w:tcW w:w="1180" w:type="dxa"/>
            <w:tcBorders>
              <w:top w:val="single" w:sz="8" w:space="0" w:color="auto"/>
              <w:left w:val="nil"/>
              <w:bottom w:val="single" w:sz="8" w:space="0" w:color="auto"/>
              <w:right w:val="single" w:sz="8" w:space="0" w:color="auto"/>
            </w:tcBorders>
            <w:shd w:val="clear" w:color="000000" w:fill="1F4E79"/>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Local Match</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25</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Danbury Drive Stabilization</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Increase capacity of the regional detention pond to handle the flows in the neighborhood.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$132,056.25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$44,018.75 </w:t>
            </w:r>
          </w:p>
        </w:tc>
      </w:tr>
      <w:tr w:rsidR="0083261F" w:rsidRPr="0083261F" w:rsidTr="0083261F">
        <w:trPr>
          <w:trHeight w:val="780"/>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26</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Spring Valley Little Jackson Creek Stream Mitigation, Stream Restoration Regenerative Stormwater Conveyance</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 xml:space="preserve">Stabilize and improve the railroad ditch line using regenerative stormwater conveyance to mitigate localized flooding. </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$681,365.23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$227,121.74 </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76933C"/>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30</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Scattered Site Properties</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Acquire and demo fifteen residential structures that are located in the SFHA and were substantially damaged.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$1,168,849.08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$389,617.69 </w:t>
            </w:r>
          </w:p>
        </w:tc>
      </w:tr>
      <w:tr w:rsidR="0083261F" w:rsidRPr="0083261F" w:rsidTr="0083261F">
        <w:trPr>
          <w:trHeight w:val="780"/>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31</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Non-Residential in Floodway</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 xml:space="preserve">Acquire and demo seven non-residential structures that are located in the floodway and were substantially damaged. </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$1,864,315.96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$621,438.65 </w:t>
            </w:r>
          </w:p>
        </w:tc>
      </w:tr>
      <w:tr w:rsidR="0083261F" w:rsidRPr="0083261F" w:rsidTr="0083261F">
        <w:trPr>
          <w:trHeight w:val="1035"/>
        </w:trPr>
        <w:tc>
          <w:tcPr>
            <w:tcW w:w="1560" w:type="dxa"/>
            <w:tcBorders>
              <w:top w:val="nil"/>
              <w:left w:val="single" w:sz="8" w:space="0" w:color="auto"/>
              <w:bottom w:val="single" w:sz="8" w:space="0" w:color="auto"/>
              <w:right w:val="single" w:sz="8" w:space="0" w:color="auto"/>
            </w:tcBorders>
            <w:shd w:val="clear" w:color="000000" w:fill="76933C"/>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32</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(RES_ACQ_002)</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Acquire and demo eight properties that are clustered together, located in the special flood hazard area (floodway and flood fringe) and were substantially damaged.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$479,224.50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$159,741.50 </w:t>
            </w:r>
          </w:p>
        </w:tc>
      </w:tr>
      <w:tr w:rsidR="0083261F" w:rsidRPr="0083261F" w:rsidTr="0083261F">
        <w:trPr>
          <w:trHeight w:val="1035"/>
        </w:trPr>
        <w:tc>
          <w:tcPr>
            <w:tcW w:w="1560" w:type="dxa"/>
            <w:tcBorders>
              <w:top w:val="nil"/>
              <w:left w:val="single" w:sz="8" w:space="0" w:color="auto"/>
              <w:bottom w:val="single" w:sz="8" w:space="0" w:color="auto"/>
              <w:right w:val="single" w:sz="8" w:space="0" w:color="auto"/>
            </w:tcBorders>
            <w:shd w:val="clear" w:color="000000" w:fill="76933C"/>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33</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(RES_ACQ_001)</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Acquire and demo twenty-two properties that are clustered together, located in the special flood hazard area (floodway and flood fringe) and were substantially damaged.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$2,902,251.00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$967,417.00 </w:t>
            </w:r>
          </w:p>
        </w:tc>
      </w:tr>
      <w:tr w:rsidR="0083261F" w:rsidRPr="0083261F" w:rsidTr="0083261F">
        <w:trPr>
          <w:trHeight w:val="1035"/>
        </w:trPr>
        <w:tc>
          <w:tcPr>
            <w:tcW w:w="1560" w:type="dxa"/>
            <w:tcBorders>
              <w:top w:val="nil"/>
              <w:left w:val="single" w:sz="8" w:space="0" w:color="auto"/>
              <w:bottom w:val="single" w:sz="8" w:space="0" w:color="auto"/>
              <w:right w:val="single" w:sz="8" w:space="0" w:color="auto"/>
            </w:tcBorders>
            <w:shd w:val="clear" w:color="000000" w:fill="76933C"/>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34</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(RES_ACQ_003)</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Acquire and demo twenty one homes that are clustered together, located in the special flood hazard area (floodway and flood fringe) and were substantially damaged.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$860,643.00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$286,881.00 </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35</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Acquisition and Demo of Two Non-Residential Structures Located in the SFHA</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Acquire and demo two non-residential structures located in the SFHA that were substantially damaged.</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$312,878.09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$104,292.70 </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48</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Public Awareness Campaign – Reaching the Digitally Disconnected</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 xml:space="preserve">Richland County is proposing a project to get the word out to the “digitally disconnected.” </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$150,000.00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$50,000.00 </w:t>
            </w:r>
          </w:p>
        </w:tc>
      </w:tr>
      <w:tr w:rsidR="0083261F" w:rsidRPr="0083261F" w:rsidTr="0083261F">
        <w:trPr>
          <w:trHeight w:val="103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lastRenderedPageBreak/>
              <w:t>95</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Culvert Improvements</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Richland County conducted an extensive study of the culverts in the county and identified nine culverts that need to be increased in size to mitigate similar damages from future flooding incidents.</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$450,119.25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$150,039.75 </w:t>
            </w:r>
          </w:p>
        </w:tc>
      </w:tr>
      <w:tr w:rsidR="0083261F" w:rsidRPr="0083261F" w:rsidTr="0083261F">
        <w:trPr>
          <w:trHeight w:val="780"/>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141</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Eastover Storm Water Drainage Channel Improvement</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This project will mitigate flooding, improve drainage, and help control mosquito population in six “Carolina bays” and along Solomon Street in the Town of Eastover.</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$206,382.00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$68,794.00 </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142</w:t>
            </w:r>
          </w:p>
        </w:tc>
        <w:tc>
          <w:tcPr>
            <w:tcW w:w="436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Storm Water Drainage Channel Improvement – Lower Richland County</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This project will mitigate flooding and improve drainage in three areas of chronic flooding.</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$140,316.00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$46,772.00 </w:t>
            </w:r>
          </w:p>
        </w:tc>
      </w:tr>
      <w:tr w:rsidR="0083261F" w:rsidRPr="0083261F" w:rsidTr="0083261F">
        <w:trPr>
          <w:trHeight w:val="780"/>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143</w:t>
            </w:r>
          </w:p>
        </w:tc>
        <w:tc>
          <w:tcPr>
            <w:tcW w:w="4360" w:type="dxa"/>
            <w:tcBorders>
              <w:top w:val="nil"/>
              <w:left w:val="nil"/>
              <w:bottom w:val="single" w:sz="8" w:space="0" w:color="auto"/>
              <w:right w:val="single" w:sz="8" w:space="0" w:color="auto"/>
            </w:tcBorders>
            <w:shd w:val="clear" w:color="auto" w:fill="auto"/>
            <w:noWrap/>
            <w:vAlign w:val="bottom"/>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 xml:space="preserve">Lake Dogwood (aka </w:t>
            </w:r>
            <w:proofErr w:type="spellStart"/>
            <w:r w:rsidRPr="0083261F">
              <w:rPr>
                <w:rFonts w:ascii="Calibri" w:eastAsia="Times New Roman" w:hAnsi="Calibri" w:cs="Arial"/>
                <w:sz w:val="20"/>
                <w:szCs w:val="20"/>
              </w:rPr>
              <w:t>Murry</w:t>
            </w:r>
            <w:proofErr w:type="spellEnd"/>
            <w:r w:rsidRPr="0083261F">
              <w:rPr>
                <w:rFonts w:ascii="Calibri" w:eastAsia="Times New Roman" w:hAnsi="Calibri" w:cs="Arial"/>
                <w:sz w:val="20"/>
                <w:szCs w:val="20"/>
              </w:rPr>
              <w:t xml:space="preserve"> Pond) Dam Armoring</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The Lake Dogwood Property Owners Association proposes to strengthen and enhance the Lake Dogwood Dam by installing a specialized turf reinforcement mat (TRM).</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$75,000.00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$25,000.00 </w:t>
            </w:r>
          </w:p>
        </w:tc>
      </w:tr>
      <w:tr w:rsidR="0083261F" w:rsidRPr="0083261F" w:rsidTr="0083261F">
        <w:trPr>
          <w:trHeight w:val="525"/>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276</w:t>
            </w:r>
          </w:p>
        </w:tc>
        <w:tc>
          <w:tcPr>
            <w:tcW w:w="4360" w:type="dxa"/>
            <w:tcBorders>
              <w:top w:val="nil"/>
              <w:left w:val="nil"/>
              <w:bottom w:val="single" w:sz="8" w:space="0" w:color="auto"/>
              <w:right w:val="single" w:sz="8" w:space="0" w:color="auto"/>
            </w:tcBorders>
            <w:shd w:val="clear" w:color="auto" w:fill="auto"/>
            <w:noWrap/>
            <w:vAlign w:val="bottom"/>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Non Residential Structure - Community Church</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 xml:space="preserve">Acquire and demo non-residential structure that is located in the floodway and was substantially damaged. </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$287,941.07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$95,980.36 </w:t>
            </w:r>
          </w:p>
        </w:tc>
      </w:tr>
      <w:tr w:rsidR="0083261F" w:rsidRPr="0083261F" w:rsidTr="0083261F">
        <w:trPr>
          <w:trHeight w:val="780"/>
        </w:trPr>
        <w:tc>
          <w:tcPr>
            <w:tcW w:w="1560" w:type="dxa"/>
            <w:tcBorders>
              <w:top w:val="nil"/>
              <w:left w:val="single" w:sz="8" w:space="0" w:color="auto"/>
              <w:bottom w:val="single" w:sz="8" w:space="0" w:color="auto"/>
              <w:right w:val="single" w:sz="8" w:space="0" w:color="auto"/>
            </w:tcBorders>
            <w:shd w:val="clear" w:color="000000" w:fill="948A54"/>
            <w:vAlign w:val="center"/>
            <w:hideMark/>
          </w:tcPr>
          <w:p w:rsidR="0083261F" w:rsidRPr="0083261F" w:rsidRDefault="0083261F" w:rsidP="0083261F">
            <w:pPr>
              <w:rPr>
                <w:rFonts w:ascii="Calibri" w:eastAsia="Times New Roman" w:hAnsi="Calibri" w:cs="Arial"/>
                <w:b/>
                <w:bCs/>
                <w:color w:val="FFFFFF"/>
                <w:sz w:val="20"/>
                <w:szCs w:val="20"/>
              </w:rPr>
            </w:pPr>
            <w:r w:rsidRPr="0083261F">
              <w:rPr>
                <w:rFonts w:ascii="Calibri" w:eastAsia="Times New Roman" w:hAnsi="Calibri" w:cs="Arial"/>
                <w:b/>
                <w:bCs/>
                <w:color w:val="FFFFFF"/>
                <w:sz w:val="20"/>
                <w:szCs w:val="20"/>
              </w:rPr>
              <w:t>277</w:t>
            </w:r>
          </w:p>
        </w:tc>
        <w:tc>
          <w:tcPr>
            <w:tcW w:w="4360" w:type="dxa"/>
            <w:tcBorders>
              <w:top w:val="nil"/>
              <w:left w:val="nil"/>
              <w:bottom w:val="single" w:sz="8" w:space="0" w:color="auto"/>
              <w:right w:val="single" w:sz="8" w:space="0" w:color="auto"/>
            </w:tcBorders>
            <w:shd w:val="clear" w:color="auto" w:fill="auto"/>
            <w:vAlign w:val="bottom"/>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Richland County - Securing Emergency Access to Gills Creek Waste Water Treatment Plant through Elevation of White House Road</w:t>
            </w:r>
          </w:p>
        </w:tc>
        <w:tc>
          <w:tcPr>
            <w:tcW w:w="50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left"/>
              <w:rPr>
                <w:rFonts w:ascii="Calibri" w:eastAsia="Times New Roman" w:hAnsi="Calibri" w:cs="Arial"/>
                <w:sz w:val="20"/>
                <w:szCs w:val="20"/>
              </w:rPr>
            </w:pPr>
            <w:r w:rsidRPr="0083261F">
              <w:rPr>
                <w:rFonts w:ascii="Calibri" w:eastAsia="Times New Roman" w:hAnsi="Calibri" w:cs="Arial"/>
                <w:sz w:val="20"/>
                <w:szCs w:val="20"/>
              </w:rPr>
              <w:t>To assure plant access and proper operation during future flood events it will be raised to an elevation above the flood levels experienced during event 4241.</w:t>
            </w:r>
          </w:p>
        </w:tc>
        <w:tc>
          <w:tcPr>
            <w:tcW w:w="134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$628,680.00 </w:t>
            </w:r>
          </w:p>
        </w:tc>
        <w:tc>
          <w:tcPr>
            <w:tcW w:w="1180" w:type="dxa"/>
            <w:tcBorders>
              <w:top w:val="nil"/>
              <w:left w:val="nil"/>
              <w:bottom w:val="single" w:sz="8" w:space="0" w:color="auto"/>
              <w:right w:val="single" w:sz="8" w:space="0" w:color="auto"/>
            </w:tcBorders>
            <w:shd w:val="clear" w:color="auto" w:fill="auto"/>
            <w:vAlign w:val="center"/>
            <w:hideMark/>
          </w:tcPr>
          <w:p w:rsidR="0083261F" w:rsidRPr="0083261F" w:rsidRDefault="0083261F" w:rsidP="0083261F">
            <w:pPr>
              <w:jc w:val="right"/>
              <w:rPr>
                <w:rFonts w:ascii="Calibri" w:eastAsia="Times New Roman" w:hAnsi="Calibri" w:cs="Arial"/>
                <w:sz w:val="20"/>
                <w:szCs w:val="20"/>
              </w:rPr>
            </w:pPr>
            <w:r w:rsidRPr="0083261F">
              <w:rPr>
                <w:rFonts w:ascii="Calibri" w:eastAsia="Times New Roman" w:hAnsi="Calibri" w:cs="Arial"/>
                <w:sz w:val="20"/>
                <w:szCs w:val="20"/>
              </w:rPr>
              <w:t xml:space="preserve">$209,560.00 </w:t>
            </w:r>
          </w:p>
        </w:tc>
      </w:tr>
      <w:tr w:rsidR="0083261F" w:rsidRPr="0083261F" w:rsidTr="0083261F">
        <w:trPr>
          <w:trHeight w:val="300"/>
        </w:trPr>
        <w:tc>
          <w:tcPr>
            <w:tcW w:w="1560" w:type="dxa"/>
            <w:tcBorders>
              <w:top w:val="nil"/>
              <w:left w:val="nil"/>
              <w:bottom w:val="nil"/>
              <w:right w:val="nil"/>
            </w:tcBorders>
            <w:shd w:val="clear" w:color="auto" w:fill="auto"/>
            <w:noWrap/>
            <w:vAlign w:val="center"/>
            <w:hideMark/>
          </w:tcPr>
          <w:p w:rsidR="0083261F" w:rsidRPr="0083261F" w:rsidRDefault="0083261F" w:rsidP="0083261F">
            <w:pPr>
              <w:jc w:val="left"/>
              <w:rPr>
                <w:rFonts w:ascii="Calibri" w:eastAsia="Times New Roman" w:hAnsi="Calibri" w:cs="Arial"/>
                <w:b/>
                <w:bCs/>
              </w:rPr>
            </w:pPr>
            <w:r w:rsidRPr="0083261F">
              <w:rPr>
                <w:rFonts w:ascii="Calibri" w:eastAsia="Times New Roman" w:hAnsi="Calibri" w:cs="Arial"/>
                <w:b/>
                <w:bCs/>
              </w:rPr>
              <w:t xml:space="preserve">Note 1: </w:t>
            </w:r>
          </w:p>
        </w:tc>
        <w:tc>
          <w:tcPr>
            <w:tcW w:w="9440" w:type="dxa"/>
            <w:gridSpan w:val="2"/>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b/>
                <w:bCs/>
                <w:color w:val="76933C"/>
                <w:sz w:val="20"/>
                <w:szCs w:val="20"/>
              </w:rPr>
            </w:pPr>
            <w:r w:rsidRPr="0083261F">
              <w:rPr>
                <w:rFonts w:ascii="Arial" w:eastAsia="Times New Roman" w:hAnsi="Arial" w:cs="Arial"/>
                <w:b/>
                <w:bCs/>
                <w:color w:val="76933C"/>
                <w:sz w:val="20"/>
                <w:szCs w:val="20"/>
              </w:rPr>
              <w:t>Dark Green - Full Application Submitted to FEMA</w:t>
            </w:r>
          </w:p>
        </w:tc>
        <w:tc>
          <w:tcPr>
            <w:tcW w:w="134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r>
      <w:tr w:rsidR="0083261F" w:rsidRPr="0083261F" w:rsidTr="0083261F">
        <w:trPr>
          <w:trHeight w:val="255"/>
        </w:trPr>
        <w:tc>
          <w:tcPr>
            <w:tcW w:w="156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9440" w:type="dxa"/>
            <w:gridSpan w:val="2"/>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b/>
                <w:bCs/>
                <w:color w:val="948A54"/>
                <w:sz w:val="20"/>
                <w:szCs w:val="20"/>
              </w:rPr>
            </w:pPr>
            <w:r w:rsidRPr="0083261F">
              <w:rPr>
                <w:rFonts w:ascii="Arial" w:eastAsia="Times New Roman" w:hAnsi="Arial" w:cs="Arial"/>
                <w:b/>
                <w:bCs/>
                <w:color w:val="948A54"/>
                <w:sz w:val="20"/>
                <w:szCs w:val="20"/>
              </w:rPr>
              <w:t>Blue – Full Application Submitted to State. Requires State review.</w:t>
            </w:r>
          </w:p>
        </w:tc>
        <w:tc>
          <w:tcPr>
            <w:tcW w:w="134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r>
      <w:tr w:rsidR="0083261F" w:rsidRPr="0083261F" w:rsidTr="0083261F">
        <w:trPr>
          <w:trHeight w:val="255"/>
        </w:trPr>
        <w:tc>
          <w:tcPr>
            <w:tcW w:w="156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9440" w:type="dxa"/>
            <w:gridSpan w:val="2"/>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b/>
                <w:bCs/>
                <w:color w:val="538DD5"/>
                <w:sz w:val="20"/>
                <w:szCs w:val="20"/>
              </w:rPr>
            </w:pPr>
            <w:r w:rsidRPr="0083261F">
              <w:rPr>
                <w:rFonts w:ascii="Arial" w:eastAsia="Times New Roman" w:hAnsi="Arial" w:cs="Arial"/>
                <w:b/>
                <w:bCs/>
                <w:color w:val="538DD5"/>
                <w:sz w:val="20"/>
                <w:szCs w:val="20"/>
              </w:rPr>
              <w:t>Blue – Full Application Submitted to State. State Requires Additional Information</w:t>
            </w:r>
          </w:p>
        </w:tc>
        <w:tc>
          <w:tcPr>
            <w:tcW w:w="134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83261F" w:rsidRPr="0083261F" w:rsidRDefault="0083261F" w:rsidP="0083261F">
            <w:pPr>
              <w:jc w:val="left"/>
              <w:rPr>
                <w:rFonts w:ascii="Arial" w:eastAsia="Times New Roman" w:hAnsi="Arial" w:cs="Arial"/>
                <w:sz w:val="20"/>
                <w:szCs w:val="20"/>
              </w:rPr>
            </w:pPr>
          </w:p>
        </w:tc>
      </w:tr>
    </w:tbl>
    <w:p w:rsidR="00827625" w:rsidRDefault="00827625">
      <w:bookmarkStart w:id="0" w:name="_GoBack"/>
      <w:bookmarkEnd w:id="0"/>
    </w:p>
    <w:sectPr w:rsidR="00827625" w:rsidSect="008326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1F"/>
    <w:rsid w:val="00827625"/>
    <w:rsid w:val="0083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King</dc:creator>
  <cp:lastModifiedBy>Michael King</cp:lastModifiedBy>
  <cp:revision>1</cp:revision>
  <dcterms:created xsi:type="dcterms:W3CDTF">2017-01-12T19:42:00Z</dcterms:created>
  <dcterms:modified xsi:type="dcterms:W3CDTF">2017-01-12T19:44:00Z</dcterms:modified>
</cp:coreProperties>
</file>